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D994" w14:textId="71161CFC" w:rsidR="00B81B0A" w:rsidRPr="00B81B0A" w:rsidRDefault="009743E1" w:rsidP="009743E1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 documents on COVID-19 Impacting the MedTech Industry</w:t>
      </w:r>
    </w:p>
    <w:p w14:paraId="20B7FCBC" w14:textId="1C407615" w:rsidR="00B81B0A" w:rsidRDefault="00B81B0A" w:rsidP="00961CAE">
      <w:pPr>
        <w:ind w:right="-1"/>
        <w:rPr>
          <w:rFonts w:ascii="Arial" w:hAnsi="Arial" w:cs="Arial"/>
        </w:rPr>
      </w:pPr>
    </w:p>
    <w:p w14:paraId="6FFED6E0" w14:textId="1E8638A7" w:rsidR="009743E1" w:rsidRDefault="009743E1" w:rsidP="00961CAE">
      <w:pPr>
        <w:ind w:right="-1"/>
        <w:rPr>
          <w:rFonts w:ascii="Arial" w:hAnsi="Arial"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  <w:gridCol w:w="3352"/>
      </w:tblGrid>
      <w:tr w:rsidR="009743E1" w:rsidRPr="00020246" w14:paraId="43DEF7B9" w14:textId="77777777" w:rsidTr="002C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5C9F93F6" w14:textId="0EE55DA1" w:rsidR="009743E1" w:rsidRPr="00020246" w:rsidRDefault="009743E1" w:rsidP="009743E1">
            <w:pPr>
              <w:ind w:right="-1"/>
              <w:jc w:val="center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Title (including hyperlink)</w:t>
            </w:r>
          </w:p>
        </w:tc>
        <w:tc>
          <w:tcPr>
            <w:tcW w:w="3351" w:type="dxa"/>
          </w:tcPr>
          <w:p w14:paraId="70FC2EEA" w14:textId="45EA0EF8" w:rsidR="009743E1" w:rsidRPr="00020246" w:rsidRDefault="009743E1" w:rsidP="009743E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3351" w:type="dxa"/>
          </w:tcPr>
          <w:p w14:paraId="15A0AC17" w14:textId="47D31FBB" w:rsidR="009743E1" w:rsidRPr="00020246" w:rsidRDefault="009743E1" w:rsidP="009743E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Publication</w:t>
            </w:r>
          </w:p>
        </w:tc>
        <w:tc>
          <w:tcPr>
            <w:tcW w:w="3352" w:type="dxa"/>
          </w:tcPr>
          <w:p w14:paraId="4FF6A32E" w14:textId="2F6C9533" w:rsidR="009743E1" w:rsidRPr="00020246" w:rsidRDefault="009743E1" w:rsidP="009743E1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Impact</w:t>
            </w:r>
          </w:p>
        </w:tc>
      </w:tr>
      <w:tr w:rsidR="009743E1" w:rsidRPr="00020246" w14:paraId="558468D3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5BD25025" w14:textId="1C6359A7" w:rsidR="009743E1" w:rsidRPr="00020246" w:rsidRDefault="003F07CB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8" w:history="1">
              <w:r w:rsidR="009743E1"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Guidelines concerning the exerci</w:t>
              </w:r>
              <w:r w:rsidR="009743E1"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s</w:t>
              </w:r>
              <w:r w:rsidR="009743E1"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e of the free movement of workers during COVID-19 outbreak</w:t>
              </w:r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.</w:t>
              </w:r>
            </w:hyperlink>
          </w:p>
        </w:tc>
        <w:tc>
          <w:tcPr>
            <w:tcW w:w="3351" w:type="dxa"/>
          </w:tcPr>
          <w:p w14:paraId="2E597069" w14:textId="1A362177" w:rsidR="009743E1" w:rsidRPr="00020246" w:rsidRDefault="009743E1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Communication</w:t>
            </w:r>
          </w:p>
        </w:tc>
        <w:tc>
          <w:tcPr>
            <w:tcW w:w="3351" w:type="dxa"/>
          </w:tcPr>
          <w:p w14:paraId="65E6BF6F" w14:textId="77777777" w:rsidR="009743E1" w:rsidRPr="00020246" w:rsidRDefault="009743E1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OJEU - </w:t>
            </w:r>
            <w:r w:rsidRPr="00020246">
              <w:rPr>
                <w:rFonts w:ascii="Arial" w:hAnsi="Arial" w:cs="Arial"/>
                <w:lang w:val="en-GB"/>
              </w:rPr>
              <w:t>2020/C 102 I/03</w:t>
            </w:r>
          </w:p>
          <w:p w14:paraId="383A453C" w14:textId="0192ED7C" w:rsidR="003F07CB" w:rsidRPr="00020246" w:rsidRDefault="003F07CB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30 March 2020</w:t>
            </w:r>
          </w:p>
        </w:tc>
        <w:tc>
          <w:tcPr>
            <w:tcW w:w="3352" w:type="dxa"/>
          </w:tcPr>
          <w:p w14:paraId="2AA988EC" w14:textId="77777777" w:rsidR="009743E1" w:rsidRPr="00020246" w:rsidRDefault="009743E1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Establishes workers in the medical devices industries (including IVDs) as workers exercising critical occupations</w:t>
            </w:r>
            <w:r w:rsidR="003F07CB" w:rsidRPr="00020246">
              <w:rPr>
                <w:rFonts w:ascii="Arial" w:hAnsi="Arial" w:cs="Arial"/>
                <w:lang w:val="en-GB"/>
              </w:rPr>
              <w:t>.</w:t>
            </w:r>
          </w:p>
          <w:p w14:paraId="2E7EE783" w14:textId="478DD4D8" w:rsidR="003F07CB" w:rsidRPr="00020246" w:rsidRDefault="003F07CB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Aims to facilitate the </w:t>
            </w:r>
            <w:r w:rsidR="00136910" w:rsidRPr="00020246">
              <w:rPr>
                <w:rFonts w:ascii="Arial" w:hAnsi="Arial" w:cs="Arial"/>
                <w:lang w:val="en-GB"/>
              </w:rPr>
              <w:t>cross-border</w:t>
            </w:r>
            <w:r w:rsidRPr="00020246">
              <w:rPr>
                <w:rFonts w:ascii="Arial" w:hAnsi="Arial" w:cs="Arial"/>
                <w:lang w:val="en-GB"/>
              </w:rPr>
              <w:t xml:space="preserve"> movement of workers in critical occupations </w:t>
            </w:r>
            <w:proofErr w:type="gramStart"/>
            <w:r w:rsidRPr="00020246">
              <w:rPr>
                <w:rFonts w:ascii="Arial" w:hAnsi="Arial" w:cs="Arial"/>
                <w:lang w:val="en-GB"/>
              </w:rPr>
              <w:t>in spite of</w:t>
            </w:r>
            <w:proofErr w:type="gramEnd"/>
            <w:r w:rsidRPr="00020246">
              <w:rPr>
                <w:rFonts w:ascii="Arial" w:hAnsi="Arial" w:cs="Arial"/>
                <w:lang w:val="en-GB"/>
              </w:rPr>
              <w:t xml:space="preserve"> overall travel restrictions.</w:t>
            </w:r>
          </w:p>
        </w:tc>
      </w:tr>
      <w:tr w:rsidR="003F07CB" w:rsidRPr="00020246" w14:paraId="0FF7E07F" w14:textId="77777777" w:rsidTr="00974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5D24567B" w14:textId="262CED31" w:rsidR="003F07CB" w:rsidRPr="00020246" w:rsidRDefault="003F07CB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9" w:history="1"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Guidelines facilitating air cargo operations during COVID-19 outbreak</w:t>
              </w:r>
            </w:hyperlink>
          </w:p>
        </w:tc>
        <w:tc>
          <w:tcPr>
            <w:tcW w:w="3351" w:type="dxa"/>
          </w:tcPr>
          <w:p w14:paraId="56168E04" w14:textId="5A7E078F" w:rsidR="003F07CB" w:rsidRPr="00020246" w:rsidRDefault="003F07CB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Communication</w:t>
            </w:r>
          </w:p>
        </w:tc>
        <w:tc>
          <w:tcPr>
            <w:tcW w:w="3351" w:type="dxa"/>
          </w:tcPr>
          <w:p w14:paraId="249F8B0B" w14:textId="77777777" w:rsidR="003F07CB" w:rsidRPr="00020246" w:rsidRDefault="003F07CB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OJEU – 2020/C 100 I/01</w:t>
            </w:r>
          </w:p>
          <w:p w14:paraId="3A53076B" w14:textId="185F8DDE" w:rsidR="003F07CB" w:rsidRPr="00020246" w:rsidRDefault="003F07CB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27 March 2020</w:t>
            </w:r>
          </w:p>
        </w:tc>
        <w:tc>
          <w:tcPr>
            <w:tcW w:w="3352" w:type="dxa"/>
          </w:tcPr>
          <w:p w14:paraId="1E507727" w14:textId="24D22B35" w:rsidR="003F07CB" w:rsidRPr="00020246" w:rsidRDefault="003F07CB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Recommends operational measures to ensure continuation of available air freight operations </w:t>
            </w:r>
            <w:proofErr w:type="gramStart"/>
            <w:r w:rsidRPr="00020246">
              <w:rPr>
                <w:rFonts w:ascii="Arial" w:hAnsi="Arial" w:cs="Arial"/>
                <w:lang w:val="en-GB"/>
              </w:rPr>
              <w:t>in particular with</w:t>
            </w:r>
            <w:proofErr w:type="gramEnd"/>
            <w:r w:rsidRPr="00020246">
              <w:rPr>
                <w:rFonts w:ascii="Arial" w:hAnsi="Arial" w:cs="Arial"/>
                <w:lang w:val="en-GB"/>
              </w:rPr>
              <w:t xml:space="preserve"> regards to personnel and encouraging flexibility to increase air freight capacity in the EU.</w:t>
            </w:r>
          </w:p>
        </w:tc>
      </w:tr>
      <w:tr w:rsidR="003F07CB" w:rsidRPr="00020246" w14:paraId="56040B86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7C384A04" w14:textId="4D0299C9" w:rsidR="003F07CB" w:rsidRPr="00020246" w:rsidRDefault="002C65CD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0" w:history="1">
              <w:r w:rsidR="003F07CB"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Lists of harmonized standards for the MDD, AIMD and IVDD</w:t>
              </w:r>
            </w:hyperlink>
          </w:p>
        </w:tc>
        <w:tc>
          <w:tcPr>
            <w:tcW w:w="3351" w:type="dxa"/>
          </w:tcPr>
          <w:p w14:paraId="167C882C" w14:textId="05B8474D" w:rsidR="003F07CB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implementing decisions</w:t>
            </w:r>
          </w:p>
        </w:tc>
        <w:tc>
          <w:tcPr>
            <w:tcW w:w="3351" w:type="dxa"/>
          </w:tcPr>
          <w:p w14:paraId="3AC13716" w14:textId="77777777" w:rsidR="003F07CB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OJEU – L0901</w:t>
            </w:r>
          </w:p>
          <w:p w14:paraId="68AD6A8C" w14:textId="77777777" w:rsidR="002C65CD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MDD – (EU) 2020/437</w:t>
            </w:r>
          </w:p>
          <w:p w14:paraId="1EF73AC0" w14:textId="77777777" w:rsidR="002C65CD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AIMD – (EU) 2020/438</w:t>
            </w:r>
          </w:p>
          <w:p w14:paraId="1E40DC80" w14:textId="77777777" w:rsidR="002C65CD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IVDD – (EU) 2020/439</w:t>
            </w:r>
          </w:p>
          <w:p w14:paraId="4280B841" w14:textId="7BED320D" w:rsidR="002C65CD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25 March 2020</w:t>
            </w:r>
          </w:p>
        </w:tc>
        <w:tc>
          <w:tcPr>
            <w:tcW w:w="3352" w:type="dxa"/>
          </w:tcPr>
          <w:p w14:paraId="5F297F43" w14:textId="7FE82473" w:rsidR="003F07CB" w:rsidRPr="00020246" w:rsidRDefault="002C65CD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Establishes updated lists of harmonized standards under the three directives to facilitate access to the EU market for devices in compliance with the listed standards.</w:t>
            </w:r>
          </w:p>
        </w:tc>
      </w:tr>
      <w:tr w:rsidR="002C65CD" w:rsidRPr="00020246" w14:paraId="155822C4" w14:textId="77777777" w:rsidTr="00974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21A7BD20" w14:textId="617787A3" w:rsidR="002C65CD" w:rsidRPr="00020246" w:rsidRDefault="002C65CD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1" w:history="1"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Implementation of Green Lanes under Guidelines for border management measures to protect health and ensure the availability of goods and essential services.</w:t>
              </w:r>
            </w:hyperlink>
          </w:p>
        </w:tc>
        <w:tc>
          <w:tcPr>
            <w:tcW w:w="3351" w:type="dxa"/>
          </w:tcPr>
          <w:p w14:paraId="3B0F3F41" w14:textId="626FD55F" w:rsidR="002C65CD" w:rsidRPr="00020246" w:rsidRDefault="002C65C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Communication</w:t>
            </w:r>
          </w:p>
        </w:tc>
        <w:tc>
          <w:tcPr>
            <w:tcW w:w="3351" w:type="dxa"/>
          </w:tcPr>
          <w:p w14:paraId="0B01C731" w14:textId="77777777" w:rsidR="002C65CD" w:rsidRPr="00020246" w:rsidRDefault="002C65C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OJEU – 2020/C 96 I/01</w:t>
            </w:r>
          </w:p>
          <w:p w14:paraId="52FA7728" w14:textId="216AF666" w:rsidR="002C65CD" w:rsidRPr="00020246" w:rsidRDefault="002C65C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24 March 2020</w:t>
            </w:r>
          </w:p>
        </w:tc>
        <w:tc>
          <w:tcPr>
            <w:tcW w:w="3352" w:type="dxa"/>
          </w:tcPr>
          <w:p w14:paraId="7F6E0BD5" w14:textId="77777777" w:rsidR="002C65CD" w:rsidRPr="00020246" w:rsidRDefault="002C65C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Establishes a network of green lane border crossings within the European transport network to facilitate the movement of goods. Further establishes a network of corridors for the transport of goods within the EU.</w:t>
            </w:r>
          </w:p>
          <w:p w14:paraId="6DBA0B80" w14:textId="59FB6D15" w:rsidR="002C65CD" w:rsidRPr="00020246" w:rsidRDefault="002C65C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Note that all goods are covered by the green lanes, not just medical devices, IVDs and medicines.</w:t>
            </w:r>
          </w:p>
        </w:tc>
      </w:tr>
      <w:tr w:rsidR="002C65CD" w:rsidRPr="00020246" w14:paraId="47683175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2216A411" w14:textId="40228114" w:rsidR="002C65CD" w:rsidRPr="00020246" w:rsidRDefault="00136910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2" w:history="1"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Guidance implementing Regulation (EU) 2020/402 making the exportation of certain products subject to the production of an export authorisation.</w:t>
              </w:r>
            </w:hyperlink>
          </w:p>
        </w:tc>
        <w:tc>
          <w:tcPr>
            <w:tcW w:w="3351" w:type="dxa"/>
          </w:tcPr>
          <w:p w14:paraId="59A0E3C3" w14:textId="1D126087" w:rsidR="002C65CD" w:rsidRPr="00020246" w:rsidRDefault="00136910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Communication</w:t>
            </w:r>
          </w:p>
        </w:tc>
        <w:tc>
          <w:tcPr>
            <w:tcW w:w="3351" w:type="dxa"/>
          </w:tcPr>
          <w:p w14:paraId="39921C3C" w14:textId="77777777" w:rsidR="002C65CD" w:rsidRPr="00020246" w:rsidRDefault="00136910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OJEU – 2020/c 91 I/02</w:t>
            </w:r>
          </w:p>
          <w:p w14:paraId="0C4E838A" w14:textId="71D6224D" w:rsidR="00136910" w:rsidRPr="00020246" w:rsidRDefault="00136910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20 March 2020</w:t>
            </w:r>
          </w:p>
        </w:tc>
        <w:tc>
          <w:tcPr>
            <w:tcW w:w="3352" w:type="dxa"/>
          </w:tcPr>
          <w:p w14:paraId="3B18F47D" w14:textId="22606841" w:rsidR="002C65CD" w:rsidRPr="00020246" w:rsidRDefault="00136910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Template application for export authorisation and the procedure for the granting of the authorisation.</w:t>
            </w:r>
          </w:p>
        </w:tc>
      </w:tr>
      <w:tr w:rsidR="00136910" w:rsidRPr="00020246" w14:paraId="54195BBD" w14:textId="77777777" w:rsidTr="00974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76CE85E2" w14:textId="4A10EF79" w:rsidR="00136910" w:rsidRPr="00020246" w:rsidRDefault="00935167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3" w:history="1">
              <w:r w:rsidR="00136910"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Amendment to implementing regulation (EU) 2020/402 making the export of certain products subject to the production of an export authorisation.</w:t>
              </w:r>
            </w:hyperlink>
          </w:p>
        </w:tc>
        <w:tc>
          <w:tcPr>
            <w:tcW w:w="3351" w:type="dxa"/>
          </w:tcPr>
          <w:p w14:paraId="6BF33692" w14:textId="72F813B8" w:rsidR="00136910" w:rsidRPr="00020246" w:rsidRDefault="00136910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Implementing Regulation</w:t>
            </w:r>
          </w:p>
        </w:tc>
        <w:tc>
          <w:tcPr>
            <w:tcW w:w="3351" w:type="dxa"/>
          </w:tcPr>
          <w:p w14:paraId="1646D623" w14:textId="77777777" w:rsidR="00136910" w:rsidRPr="00020246" w:rsidRDefault="00136910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OJEU – Regulation (EU) 2020/426</w:t>
            </w:r>
          </w:p>
          <w:p w14:paraId="6C816876" w14:textId="6247F751" w:rsidR="00136910" w:rsidRPr="00020246" w:rsidRDefault="00136910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19 March 2020</w:t>
            </w:r>
          </w:p>
        </w:tc>
        <w:tc>
          <w:tcPr>
            <w:tcW w:w="3352" w:type="dxa"/>
          </w:tcPr>
          <w:p w14:paraId="3B916696" w14:textId="39209139" w:rsidR="00136910" w:rsidRPr="00020246" w:rsidRDefault="00136910" w:rsidP="00136910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Norway, Iceland, Liechtenstein and Switzerland, overseas territories, the Faroe Islands, Andorra, San Marino and the Vatican</w:t>
            </w:r>
            <w:r w:rsidR="00935167" w:rsidRPr="00020246">
              <w:rPr>
                <w:rFonts w:ascii="Arial" w:hAnsi="Arial" w:cs="Arial"/>
                <w:lang w:val="en-GB"/>
              </w:rPr>
              <w:t xml:space="preserve"> City</w:t>
            </w:r>
            <w:r w:rsidRPr="00020246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="00935167" w:rsidRPr="00020246">
              <w:rPr>
                <w:rFonts w:ascii="Arial" w:hAnsi="Arial" w:cs="Arial"/>
                <w:lang w:val="en-GB"/>
              </w:rPr>
              <w:t>are considered to be</w:t>
            </w:r>
            <w:proofErr w:type="gramEnd"/>
            <w:r w:rsidR="00935167" w:rsidRPr="00020246">
              <w:rPr>
                <w:rFonts w:ascii="Arial" w:hAnsi="Arial" w:cs="Arial"/>
                <w:lang w:val="en-GB"/>
              </w:rPr>
              <w:t xml:space="preserve"> within the area which does not require an export authorisation.</w:t>
            </w:r>
          </w:p>
        </w:tc>
      </w:tr>
      <w:tr w:rsidR="00935167" w:rsidRPr="00020246" w14:paraId="5178A858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47845C22" w14:textId="3477C82D" w:rsidR="00935167" w:rsidRPr="00020246" w:rsidRDefault="00935167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4" w:history="1"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Medic</w:t>
              </w:r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a</w:t>
              </w:r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 xml:space="preserve">l Stockpiling </w:t>
              </w:r>
              <w:proofErr w:type="spellStart"/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rescEU</w:t>
              </w:r>
              <w:proofErr w:type="spellEnd"/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 xml:space="preserve"> capacities</w:t>
              </w:r>
            </w:hyperlink>
          </w:p>
        </w:tc>
        <w:tc>
          <w:tcPr>
            <w:tcW w:w="3351" w:type="dxa"/>
          </w:tcPr>
          <w:p w14:paraId="3BCF6349" w14:textId="461571AF" w:rsidR="00935167" w:rsidRPr="00020246" w:rsidRDefault="0093516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Implementing Decision</w:t>
            </w:r>
          </w:p>
        </w:tc>
        <w:tc>
          <w:tcPr>
            <w:tcW w:w="3351" w:type="dxa"/>
          </w:tcPr>
          <w:p w14:paraId="2E795FFD" w14:textId="77777777" w:rsidR="00935167" w:rsidRPr="00020246" w:rsidRDefault="0093516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OJEU – Decision (EU) 2020/414</w:t>
            </w:r>
          </w:p>
          <w:p w14:paraId="1E20C6AE" w14:textId="381D3673" w:rsidR="00935167" w:rsidRPr="00020246" w:rsidRDefault="0093516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19 March 2020</w:t>
            </w:r>
          </w:p>
        </w:tc>
        <w:tc>
          <w:tcPr>
            <w:tcW w:w="3352" w:type="dxa"/>
          </w:tcPr>
          <w:p w14:paraId="6DB53584" w14:textId="77777777" w:rsidR="00935167" w:rsidRPr="00020246" w:rsidRDefault="00935167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Triggers the </w:t>
            </w:r>
            <w:proofErr w:type="spellStart"/>
            <w:r w:rsidRPr="00020246">
              <w:rPr>
                <w:rFonts w:ascii="Arial" w:hAnsi="Arial" w:cs="Arial"/>
                <w:lang w:val="en-GB"/>
              </w:rPr>
              <w:t>rescEU</w:t>
            </w:r>
            <w:proofErr w:type="spellEnd"/>
            <w:r w:rsidRPr="00020246">
              <w:rPr>
                <w:rFonts w:ascii="Arial" w:hAnsi="Arial" w:cs="Arial"/>
                <w:lang w:val="en-GB"/>
              </w:rPr>
              <w:t xml:space="preserve"> provisions to combat the COVID-19 outbreak </w:t>
            </w:r>
            <w:proofErr w:type="gramStart"/>
            <w:r w:rsidRPr="00020246">
              <w:rPr>
                <w:rFonts w:ascii="Arial" w:hAnsi="Arial" w:cs="Arial"/>
                <w:lang w:val="en-GB"/>
              </w:rPr>
              <w:t>in particular including</w:t>
            </w:r>
            <w:proofErr w:type="gramEnd"/>
            <w:r w:rsidRPr="00020246">
              <w:rPr>
                <w:rFonts w:ascii="Arial" w:hAnsi="Arial" w:cs="Arial"/>
                <w:lang w:val="en-GB"/>
              </w:rPr>
              <w:t xml:space="preserve"> explicitly the following products:</w:t>
            </w:r>
          </w:p>
          <w:p w14:paraId="51B6FBEC" w14:textId="77777777" w:rsidR="00935167" w:rsidRPr="00020246" w:rsidRDefault="00935167" w:rsidP="00935167">
            <w:pPr>
              <w:pStyle w:val="ListBulle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PPE</w:t>
            </w:r>
          </w:p>
          <w:p w14:paraId="55299FC5" w14:textId="77777777" w:rsidR="00935167" w:rsidRPr="00020246" w:rsidRDefault="00935167" w:rsidP="00935167">
            <w:pPr>
              <w:pStyle w:val="ListBulle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Devices used in ICU</w:t>
            </w:r>
          </w:p>
          <w:p w14:paraId="6A72CEE9" w14:textId="36027A28" w:rsidR="00935167" w:rsidRPr="00020246" w:rsidRDefault="00935167" w:rsidP="00935167">
            <w:pPr>
              <w:pStyle w:val="ListBulle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Laboratory supplies</w:t>
            </w:r>
          </w:p>
        </w:tc>
      </w:tr>
      <w:tr w:rsidR="00935167" w:rsidRPr="00020246" w14:paraId="00064C7A" w14:textId="77777777" w:rsidTr="00974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1041F645" w14:textId="7DB2BC5C" w:rsidR="00935167" w:rsidRPr="00020246" w:rsidRDefault="00020246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5" w:history="1"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Commission Implementing Regulation (EU) 2020/402 making the exportation of certain products subject to the production of an export authorisation</w:t>
              </w:r>
            </w:hyperlink>
          </w:p>
        </w:tc>
        <w:tc>
          <w:tcPr>
            <w:tcW w:w="3351" w:type="dxa"/>
          </w:tcPr>
          <w:p w14:paraId="4D9161F3" w14:textId="7F79C78E" w:rsidR="00935167" w:rsidRPr="00020246" w:rsidRDefault="00020246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Implementing Regulation</w:t>
            </w:r>
          </w:p>
        </w:tc>
        <w:tc>
          <w:tcPr>
            <w:tcW w:w="3351" w:type="dxa"/>
          </w:tcPr>
          <w:p w14:paraId="2604F4E1" w14:textId="04338425" w:rsidR="00935167" w:rsidRPr="00020246" w:rsidRDefault="00020246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OJEU </w:t>
            </w:r>
            <w:r w:rsidR="00855ABD">
              <w:rPr>
                <w:rFonts w:ascii="Arial" w:hAnsi="Arial" w:cs="Arial"/>
                <w:lang w:val="en-GB"/>
              </w:rPr>
              <w:t xml:space="preserve">– </w:t>
            </w:r>
            <w:r w:rsidRPr="00020246">
              <w:rPr>
                <w:rFonts w:ascii="Arial" w:hAnsi="Arial" w:cs="Arial"/>
                <w:lang w:val="en-GB"/>
              </w:rPr>
              <w:t>Regulation (EU) 2020/402</w:t>
            </w:r>
          </w:p>
          <w:p w14:paraId="5D67798C" w14:textId="19A9A665" w:rsidR="00020246" w:rsidRPr="00020246" w:rsidRDefault="00020246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14 March 2020</w:t>
            </w:r>
          </w:p>
        </w:tc>
        <w:tc>
          <w:tcPr>
            <w:tcW w:w="3352" w:type="dxa"/>
          </w:tcPr>
          <w:p w14:paraId="65AEDAA1" w14:textId="076CEECD" w:rsidR="00020246" w:rsidRPr="00020246" w:rsidRDefault="00020246" w:rsidP="00136910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Requires an export authorisation for </w:t>
            </w:r>
            <w:r>
              <w:rPr>
                <w:rFonts w:ascii="Arial" w:hAnsi="Arial" w:cs="Arial"/>
                <w:lang w:val="en-GB"/>
              </w:rPr>
              <w:t>PPEs used to address the COVID-19 threat.</w:t>
            </w:r>
          </w:p>
        </w:tc>
      </w:tr>
      <w:tr w:rsidR="00935167" w:rsidRPr="00020246" w14:paraId="6DA8307A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335BEDE8" w14:textId="3ED5C8BB" w:rsidR="00935167" w:rsidRPr="00020246" w:rsidRDefault="00935167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6" w:history="1">
              <w:r w:rsidRPr="00020246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Recommendation on conformity assessment and market surveillance procedures within the context of the COVID-19 threat</w:t>
              </w:r>
            </w:hyperlink>
          </w:p>
        </w:tc>
        <w:tc>
          <w:tcPr>
            <w:tcW w:w="3351" w:type="dxa"/>
          </w:tcPr>
          <w:p w14:paraId="68C2A8CF" w14:textId="5C75058C" w:rsidR="00935167" w:rsidRPr="00020246" w:rsidRDefault="0093516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Commission Recommendation</w:t>
            </w:r>
          </w:p>
        </w:tc>
        <w:tc>
          <w:tcPr>
            <w:tcW w:w="3351" w:type="dxa"/>
          </w:tcPr>
          <w:p w14:paraId="6E6E878A" w14:textId="5318C0D9" w:rsidR="00935167" w:rsidRPr="00020246" w:rsidRDefault="0093516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 xml:space="preserve">OJEU </w:t>
            </w:r>
            <w:r w:rsidR="00855ABD">
              <w:rPr>
                <w:rFonts w:ascii="Arial" w:hAnsi="Arial" w:cs="Arial"/>
                <w:lang w:val="en-GB"/>
              </w:rPr>
              <w:t xml:space="preserve">– </w:t>
            </w:r>
            <w:r w:rsidRPr="00020246">
              <w:rPr>
                <w:rFonts w:ascii="Arial" w:hAnsi="Arial" w:cs="Arial"/>
                <w:lang w:val="en-GB"/>
              </w:rPr>
              <w:t>Recommendation (EU) 2020/403</w:t>
            </w:r>
          </w:p>
          <w:p w14:paraId="0ED2EAA3" w14:textId="18BF2B4C" w:rsidR="00935167" w:rsidRPr="00020246" w:rsidRDefault="0093516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13 March 2020</w:t>
            </w:r>
          </w:p>
        </w:tc>
        <w:tc>
          <w:tcPr>
            <w:tcW w:w="3352" w:type="dxa"/>
          </w:tcPr>
          <w:p w14:paraId="4C803619" w14:textId="2442347C" w:rsidR="00935167" w:rsidRPr="00020246" w:rsidRDefault="00935167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020246">
              <w:rPr>
                <w:rFonts w:ascii="Arial" w:hAnsi="Arial" w:cs="Arial"/>
                <w:lang w:val="en-GB"/>
              </w:rPr>
              <w:t>Clarifies conformity assessment procedures for PPE allowing for entry into the market of devices that conform to technical solutions other than harmonised standards.</w:t>
            </w:r>
          </w:p>
        </w:tc>
      </w:tr>
      <w:tr w:rsidR="003C0763" w:rsidRPr="00020246" w14:paraId="59C8A548" w14:textId="77777777" w:rsidTr="00974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7277AEBB" w14:textId="3ABFB430" w:rsidR="003C0763" w:rsidRPr="00020246" w:rsidRDefault="003C0763" w:rsidP="009743E1">
            <w:pPr>
              <w:ind w:right="-1"/>
              <w:rPr>
                <w:rFonts w:ascii="Arial" w:hAnsi="Arial" w:cs="Arial"/>
                <w:lang w:val="en-GB"/>
              </w:rPr>
            </w:pPr>
            <w:hyperlink r:id="rId17" w:history="1">
              <w:r w:rsidRPr="003C0763">
                <w:rPr>
                  <w:rStyle w:val="Hyperlink"/>
                  <w:rFonts w:ascii="Arial" w:hAnsi="Arial" w:cs="Arial"/>
                  <w:b w:val="0"/>
                  <w:bCs w:val="0"/>
                  <w:lang w:val="en-GB"/>
                </w:rPr>
                <w:t>Statement on the processing of personal data in the context of the COVID-19 outbreak.</w:t>
              </w:r>
            </w:hyperlink>
          </w:p>
        </w:tc>
        <w:tc>
          <w:tcPr>
            <w:tcW w:w="3351" w:type="dxa"/>
          </w:tcPr>
          <w:p w14:paraId="747724FB" w14:textId="26B53896" w:rsidR="003C0763" w:rsidRPr="00020246" w:rsidRDefault="003C0763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Statement of the European Data Protection Board</w:t>
            </w:r>
          </w:p>
        </w:tc>
        <w:tc>
          <w:tcPr>
            <w:tcW w:w="3351" w:type="dxa"/>
          </w:tcPr>
          <w:p w14:paraId="00B8E693" w14:textId="77777777" w:rsidR="003C0763" w:rsidRDefault="003C0763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Web publication by the </w:t>
            </w:r>
            <w:proofErr w:type="spellStart"/>
            <w:r>
              <w:rPr>
                <w:rFonts w:ascii="Arial" w:hAnsi="Arial" w:cs="Arial"/>
                <w:lang w:val="en-GB"/>
              </w:rPr>
              <w:t>edpb</w:t>
            </w:r>
            <w:proofErr w:type="spellEnd"/>
          </w:p>
          <w:p w14:paraId="19D2A480" w14:textId="4C238FB6" w:rsidR="003C0763" w:rsidRPr="00020246" w:rsidRDefault="003C0763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 March 2020</w:t>
            </w:r>
          </w:p>
        </w:tc>
        <w:tc>
          <w:tcPr>
            <w:tcW w:w="3352" w:type="dxa"/>
          </w:tcPr>
          <w:p w14:paraId="40FD8AF5" w14:textId="12E638C0" w:rsidR="003C0763" w:rsidRPr="00020246" w:rsidRDefault="003C0763" w:rsidP="00136910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Establishes guidelines as to how and when the use of personal data to combat the COVID-19 threat falls under the public interest exemption. </w:t>
            </w:r>
          </w:p>
        </w:tc>
      </w:tr>
      <w:tr w:rsidR="003C0763" w:rsidRPr="003C0763" w14:paraId="4A28F3F9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1B65B006" w14:textId="70FD902C" w:rsidR="003C0763" w:rsidRPr="003C0763" w:rsidRDefault="00855ABD" w:rsidP="009743E1">
            <w:pPr>
              <w:ind w:right="-1"/>
              <w:rPr>
                <w:rFonts w:ascii="Arial" w:hAnsi="Arial" w:cs="Arial"/>
              </w:rPr>
            </w:pPr>
            <w:hyperlink r:id="rId18" w:history="1">
              <w:r w:rsidR="003C0763" w:rsidRPr="00855ABD">
                <w:rPr>
                  <w:rStyle w:val="Hyperlink"/>
                  <w:rFonts w:ascii="Arial" w:hAnsi="Arial" w:cs="Arial"/>
                  <w:b w:val="0"/>
                  <w:bCs w:val="0"/>
                </w:rPr>
                <w:t>COVID-19 EU Recommendations for testing strategies</w:t>
              </w:r>
            </w:hyperlink>
          </w:p>
        </w:tc>
        <w:tc>
          <w:tcPr>
            <w:tcW w:w="3351" w:type="dxa"/>
          </w:tcPr>
          <w:p w14:paraId="271E86BC" w14:textId="78D33E54" w:rsidR="003C0763" w:rsidRPr="003C0763" w:rsidRDefault="003C0763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… Infographic?</w:t>
            </w:r>
          </w:p>
        </w:tc>
        <w:tc>
          <w:tcPr>
            <w:tcW w:w="3351" w:type="dxa"/>
          </w:tcPr>
          <w:p w14:paraId="2D4C615B" w14:textId="77777777" w:rsidR="003C0763" w:rsidRDefault="003C0763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publication by the EU Commission</w:t>
            </w:r>
          </w:p>
          <w:p w14:paraId="5923A8BF" w14:textId="55691F9E" w:rsidR="003C0763" w:rsidRPr="003C0763" w:rsidRDefault="003C0763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March 2020</w:t>
            </w:r>
          </w:p>
        </w:tc>
        <w:tc>
          <w:tcPr>
            <w:tcW w:w="3352" w:type="dxa"/>
          </w:tcPr>
          <w:p w14:paraId="480D880B" w14:textId="69DBCCF3" w:rsidR="003C0763" w:rsidRPr="003C0763" w:rsidRDefault="003C0763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Establishes recommendations </w:t>
            </w:r>
            <w:r w:rsidR="00855ABD">
              <w:rPr>
                <w:rFonts w:ascii="Arial" w:hAnsi="Arial" w:cs="Arial"/>
              </w:rPr>
              <w:t xml:space="preserve">and priorities </w:t>
            </w:r>
            <w:r>
              <w:rPr>
                <w:rFonts w:ascii="Arial" w:hAnsi="Arial" w:cs="Arial"/>
              </w:rPr>
              <w:t>of who to test in the EU for COVID-19</w:t>
            </w:r>
            <w:r w:rsidR="00855A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55ABD" w:rsidRPr="003C0763" w14:paraId="661BB399" w14:textId="77777777" w:rsidTr="00974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1FE45A3C" w14:textId="42C14024" w:rsidR="00855ABD" w:rsidRDefault="00855ABD" w:rsidP="009743E1">
            <w:pPr>
              <w:ind w:right="-1"/>
              <w:rPr>
                <w:rFonts w:ascii="Arial" w:hAnsi="Arial" w:cs="Arial"/>
              </w:rPr>
            </w:pPr>
            <w:hyperlink r:id="rId19" w:history="1">
              <w:r w:rsidRPr="00855ABD">
                <w:rPr>
                  <w:rStyle w:val="Hyperlink"/>
                  <w:rFonts w:ascii="Arial" w:hAnsi="Arial" w:cs="Arial"/>
                  <w:b w:val="0"/>
                  <w:bCs w:val="0"/>
                </w:rPr>
                <w:t>Guidance on the applicable legislation for leave-on hand cleaners and hand disinfectants (gel, solution, etc.)</w:t>
              </w:r>
            </w:hyperlink>
          </w:p>
        </w:tc>
        <w:tc>
          <w:tcPr>
            <w:tcW w:w="3351" w:type="dxa"/>
          </w:tcPr>
          <w:p w14:paraId="166677CE" w14:textId="05517945" w:rsidR="00855ABD" w:rsidRDefault="00855AB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Guidance</w:t>
            </w:r>
          </w:p>
        </w:tc>
        <w:tc>
          <w:tcPr>
            <w:tcW w:w="3351" w:type="dxa"/>
          </w:tcPr>
          <w:p w14:paraId="606CEB5C" w14:textId="77777777" w:rsidR="00855ABD" w:rsidRDefault="00855AB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 publication by the EU Commission </w:t>
            </w:r>
          </w:p>
          <w:p w14:paraId="740EE2AA" w14:textId="6F8ACE78" w:rsidR="00855ABD" w:rsidRDefault="00855ABD" w:rsidP="009743E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2020</w:t>
            </w:r>
          </w:p>
        </w:tc>
        <w:tc>
          <w:tcPr>
            <w:tcW w:w="3352" w:type="dxa"/>
          </w:tcPr>
          <w:p w14:paraId="7A1A82E0" w14:textId="5652C307" w:rsidR="00855ABD" w:rsidRDefault="00855ABD" w:rsidP="00136910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guidance on the applicable legal framework </w:t>
            </w:r>
            <w:proofErr w:type="gramStart"/>
            <w:r>
              <w:rPr>
                <w:rFonts w:ascii="Arial" w:hAnsi="Arial" w:cs="Arial"/>
              </w:rPr>
              <w:t>for the production of</w:t>
            </w:r>
            <w:proofErr w:type="gramEnd"/>
            <w:r>
              <w:rPr>
                <w:rFonts w:ascii="Arial" w:hAnsi="Arial" w:cs="Arial"/>
              </w:rPr>
              <w:t xml:space="preserve"> hand cleaners and disinfectants. </w:t>
            </w:r>
          </w:p>
        </w:tc>
      </w:tr>
      <w:tr w:rsidR="00855ABD" w:rsidRPr="003C0763" w14:paraId="0149E293" w14:textId="77777777" w:rsidTr="0097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</w:tcPr>
          <w:p w14:paraId="2B641C53" w14:textId="12AEB0B5" w:rsidR="00855ABD" w:rsidRDefault="005A42C6" w:rsidP="009743E1">
            <w:pPr>
              <w:ind w:right="-1"/>
              <w:rPr>
                <w:rFonts w:ascii="Arial" w:hAnsi="Arial" w:cs="Arial"/>
              </w:rPr>
            </w:pPr>
            <w:hyperlink r:id="rId20" w:history="1">
              <w:r w:rsidRPr="005A42C6">
                <w:rPr>
                  <w:rStyle w:val="Hyperlink"/>
                  <w:rFonts w:ascii="Arial" w:hAnsi="Arial" w:cs="Arial"/>
                  <w:b w:val="0"/>
                  <w:bCs w:val="0"/>
                </w:rPr>
                <w:t>Conformity assessment procedures for 3D printing and 3D printed products to be used in a medical context for COVID-19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1" w:type="dxa"/>
          </w:tcPr>
          <w:p w14:paraId="3A9F740C" w14:textId="37FC4E64" w:rsidR="00855ABD" w:rsidRDefault="005A42C6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Q</w:t>
            </w:r>
            <w:r w:rsidR="00155C87">
              <w:rPr>
                <w:rFonts w:ascii="Arial" w:hAnsi="Arial" w:cs="Arial"/>
              </w:rPr>
              <w:t>&amp;A</w:t>
            </w:r>
          </w:p>
        </w:tc>
        <w:tc>
          <w:tcPr>
            <w:tcW w:w="3351" w:type="dxa"/>
          </w:tcPr>
          <w:p w14:paraId="195211C8" w14:textId="77777777" w:rsidR="00855ABD" w:rsidRDefault="00155C8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publication by the EU Commission</w:t>
            </w:r>
          </w:p>
          <w:p w14:paraId="1233B1D0" w14:textId="3DA24A25" w:rsidR="00155C87" w:rsidRDefault="00155C87" w:rsidP="009743E1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2020</w:t>
            </w:r>
          </w:p>
        </w:tc>
        <w:tc>
          <w:tcPr>
            <w:tcW w:w="3352" w:type="dxa"/>
          </w:tcPr>
          <w:p w14:paraId="5431DF22" w14:textId="77777777" w:rsidR="00855ABD" w:rsidRDefault="00155C87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Establishes the basis for placing on the market 3D printed medical devices (need to comply with the MDD).</w:t>
            </w:r>
          </w:p>
          <w:p w14:paraId="68BA85AF" w14:textId="77777777" w:rsidR="00155C87" w:rsidRDefault="00155C87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393241" w14:textId="01D3EFA4" w:rsidR="00155C87" w:rsidRDefault="00155C87" w:rsidP="00136910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Additionally</w:t>
            </w:r>
            <w:proofErr w:type="gramEnd"/>
            <w:r>
              <w:rPr>
                <w:rFonts w:ascii="Arial" w:hAnsi="Arial" w:cs="Arial"/>
              </w:rPr>
              <w:t xml:space="preserve"> encourages companies involved in 3D printing parts for ventilators to get in touch with ventilator manufacturers.</w:t>
            </w:r>
          </w:p>
        </w:tc>
      </w:tr>
      <w:tr w:rsidR="00155C87" w:rsidRPr="003C0763" w14:paraId="3E51B49B" w14:textId="77777777" w:rsidTr="009743E1">
        <w:tc>
          <w:tcPr>
            <w:tcW w:w="3351" w:type="dxa"/>
          </w:tcPr>
          <w:p w14:paraId="5FCAFCBA" w14:textId="4B227CE1" w:rsidR="00155C87" w:rsidRDefault="00155C87" w:rsidP="009743E1">
            <w:pPr>
              <w:ind w:right="-1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21" w:history="1">
              <w:r w:rsidRPr="00155C87">
                <w:rPr>
                  <w:rStyle w:val="Hyperlink"/>
                  <w:rFonts w:ascii="Arial" w:hAnsi="Arial" w:cs="Arial"/>
                  <w:b w:val="0"/>
                  <w:bCs w:val="0"/>
                </w:rPr>
                <w:t>Conformity assessment procedures for protective equipment.</w:t>
              </w:r>
            </w:hyperlink>
          </w:p>
        </w:tc>
        <w:tc>
          <w:tcPr>
            <w:tcW w:w="3351" w:type="dxa"/>
          </w:tcPr>
          <w:p w14:paraId="094E5F43" w14:textId="146BD097" w:rsidR="00155C87" w:rsidRDefault="00155C87" w:rsidP="009743E1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Q&amp;A</w:t>
            </w:r>
          </w:p>
        </w:tc>
        <w:tc>
          <w:tcPr>
            <w:tcW w:w="3351" w:type="dxa"/>
          </w:tcPr>
          <w:p w14:paraId="2B5FEEC6" w14:textId="77777777" w:rsidR="00155C87" w:rsidRDefault="00155C87" w:rsidP="009743E1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publication by the EU Commission</w:t>
            </w:r>
          </w:p>
          <w:p w14:paraId="1EA95234" w14:textId="0B018B51" w:rsidR="00155C87" w:rsidRDefault="00155C87" w:rsidP="009743E1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March 2020</w:t>
            </w:r>
          </w:p>
        </w:tc>
        <w:tc>
          <w:tcPr>
            <w:tcW w:w="3352" w:type="dxa"/>
          </w:tcPr>
          <w:p w14:paraId="60C34598" w14:textId="3EB403FE" w:rsidR="00155C87" w:rsidRDefault="00155C87" w:rsidP="0013691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guidelines on the circumstances under which PPE can be placed on the EU market without being CE marked – will</w:t>
            </w:r>
            <w:r w:rsidR="00867B9D">
              <w:rPr>
                <w:rFonts w:ascii="Arial" w:hAnsi="Arial" w:cs="Arial"/>
              </w:rPr>
              <w:t xml:space="preserve"> need to have </w:t>
            </w:r>
            <w:proofErr w:type="spellStart"/>
            <w:r w:rsidR="00867B9D">
              <w:rPr>
                <w:rFonts w:ascii="Arial" w:hAnsi="Arial" w:cs="Arial"/>
              </w:rPr>
              <w:t>autho</w:t>
            </w:r>
            <w:bookmarkStart w:id="0" w:name="_GoBack"/>
            <w:bookmarkEnd w:id="0"/>
            <w:r w:rsidR="00867B9D">
              <w:rPr>
                <w:rFonts w:ascii="Arial" w:hAnsi="Arial" w:cs="Arial"/>
              </w:rPr>
              <w:t>risation</w:t>
            </w:r>
            <w:proofErr w:type="spellEnd"/>
            <w:r w:rsidR="00867B9D">
              <w:rPr>
                <w:rFonts w:ascii="Arial" w:hAnsi="Arial" w:cs="Arial"/>
              </w:rPr>
              <w:t xml:space="preserve"> by a member state authority. </w:t>
            </w:r>
          </w:p>
        </w:tc>
      </w:tr>
    </w:tbl>
    <w:p w14:paraId="1E381A17" w14:textId="77777777" w:rsidR="009743E1" w:rsidRPr="003C0763" w:rsidRDefault="009743E1" w:rsidP="00961CAE">
      <w:pPr>
        <w:ind w:right="-1"/>
        <w:rPr>
          <w:rFonts w:ascii="Arial" w:hAnsi="Arial" w:cs="Arial"/>
        </w:rPr>
      </w:pPr>
    </w:p>
    <w:sectPr w:rsidR="009743E1" w:rsidRPr="003C0763" w:rsidSect="00B81B0A">
      <w:headerReference w:type="default" r:id="rId22"/>
      <w:footerReference w:type="default" r:id="rId23"/>
      <w:headerReference w:type="first" r:id="rId24"/>
      <w:footerReference w:type="first" r:id="rId25"/>
      <w:pgSz w:w="16840" w:h="11900" w:orient="landscape"/>
      <w:pgMar w:top="1276" w:right="1985" w:bottom="1127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AFC4" w14:textId="77777777" w:rsidR="006A5C69" w:rsidRDefault="006A5C69" w:rsidP="006B7392">
      <w:pPr>
        <w:spacing w:line="240" w:lineRule="auto"/>
      </w:pPr>
      <w:r>
        <w:separator/>
      </w:r>
    </w:p>
  </w:endnote>
  <w:endnote w:type="continuationSeparator" w:id="0">
    <w:p w14:paraId="04B81E7B" w14:textId="77777777" w:rsidR="006A5C69" w:rsidRDefault="006A5C69" w:rsidP="006B7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E50C" w14:textId="74785015" w:rsidR="00300598" w:rsidRDefault="00300598" w:rsidP="009743E1">
    <w:pPr>
      <w:tabs>
        <w:tab w:val="right" w:pos="9600"/>
      </w:tabs>
      <w:jc w:val="center"/>
      <w:rPr>
        <w:rFonts w:ascii="Arial" w:hAnsi="Arial" w:cs="Arial"/>
        <w:color w:val="5B3393"/>
      </w:rPr>
    </w:pPr>
  </w:p>
  <w:p w14:paraId="726A348E" w14:textId="0D4C6A7D" w:rsidR="006B7392" w:rsidRPr="00B81B0A" w:rsidRDefault="006B7392" w:rsidP="006B7392">
    <w:pPr>
      <w:tabs>
        <w:tab w:val="right" w:pos="9600"/>
      </w:tabs>
      <w:rPr>
        <w:rFonts w:ascii="Arial" w:hAnsi="Arial" w:cs="Arial"/>
      </w:rPr>
    </w:pPr>
    <w:r w:rsidRPr="00B81B0A">
      <w:rPr>
        <w:rFonts w:ascii="Arial" w:hAnsi="Arial" w:cs="Arial"/>
        <w:color w:val="5B3393"/>
      </w:rPr>
      <w:t>www.</w:t>
    </w:r>
    <w:r w:rsidRPr="00B81B0A">
      <w:rPr>
        <w:rFonts w:ascii="Arial" w:hAnsi="Arial" w:cs="Arial"/>
        <w:b/>
        <w:color w:val="5B3393"/>
      </w:rPr>
      <w:t>medtecheurope</w:t>
    </w:r>
    <w:r w:rsidRPr="00B81B0A">
      <w:rPr>
        <w:rFonts w:ascii="Arial" w:hAnsi="Arial" w:cs="Arial"/>
        <w:color w:val="5B3393"/>
      </w:rPr>
      <w:t>.org</w:t>
    </w:r>
    <w:r w:rsidRPr="00B81B0A">
      <w:rPr>
        <w:rFonts w:ascii="Arial" w:hAnsi="Arial" w:cs="Arial"/>
        <w:b/>
        <w:color w:val="5B3393"/>
      </w:rPr>
      <w:tab/>
    </w:r>
    <w:sdt>
      <w:sdtPr>
        <w:rPr>
          <w:rFonts w:ascii="Arial" w:hAnsi="Arial" w:cs="Arial"/>
          <w:color w:val="5B3393"/>
        </w:rPr>
        <w:id w:val="250395305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="00300598">
          <w:rPr>
            <w:rFonts w:ascii="Arial" w:hAnsi="Arial" w:cs="Arial"/>
            <w:color w:val="5B3393"/>
          </w:rPr>
          <w:tab/>
        </w:r>
        <w:r w:rsidR="00300598">
          <w:rPr>
            <w:rFonts w:ascii="Arial" w:hAnsi="Arial" w:cs="Arial"/>
            <w:color w:val="5B3393"/>
          </w:rPr>
          <w:tab/>
        </w:r>
        <w:r w:rsidR="00300598">
          <w:rPr>
            <w:rFonts w:ascii="Arial" w:hAnsi="Arial" w:cs="Arial"/>
            <w:color w:val="5B3393"/>
          </w:rPr>
          <w:tab/>
        </w:r>
        <w:r w:rsidRPr="00B81B0A">
          <w:rPr>
            <w:rFonts w:ascii="Arial" w:hAnsi="Arial" w:cs="Arial"/>
            <w:color w:val="5B3393"/>
          </w:rPr>
          <w:t xml:space="preserve">Page </w:t>
        </w:r>
        <w:r w:rsidRPr="00B81B0A">
          <w:rPr>
            <w:rFonts w:ascii="Arial" w:hAnsi="Arial" w:cs="Arial"/>
            <w:color w:val="5B3393"/>
          </w:rPr>
          <w:fldChar w:fldCharType="begin"/>
        </w:r>
        <w:r w:rsidRPr="00B81B0A">
          <w:rPr>
            <w:rFonts w:ascii="Arial" w:hAnsi="Arial" w:cs="Arial"/>
            <w:color w:val="5B3393"/>
          </w:rPr>
          <w:instrText xml:space="preserve"> PAGE </w:instrText>
        </w:r>
        <w:r w:rsidRPr="00B81B0A">
          <w:rPr>
            <w:rFonts w:ascii="Arial" w:hAnsi="Arial" w:cs="Arial"/>
            <w:color w:val="5B3393"/>
          </w:rPr>
          <w:fldChar w:fldCharType="separate"/>
        </w:r>
        <w:r w:rsidRPr="00B81B0A">
          <w:rPr>
            <w:rFonts w:ascii="Arial" w:hAnsi="Arial" w:cs="Arial"/>
            <w:noProof/>
            <w:color w:val="5B3393"/>
          </w:rPr>
          <w:t>1</w:t>
        </w:r>
        <w:r w:rsidRPr="00B81B0A">
          <w:rPr>
            <w:rFonts w:ascii="Arial" w:hAnsi="Arial" w:cs="Arial"/>
            <w:color w:val="5B3393"/>
          </w:rPr>
          <w:fldChar w:fldCharType="end"/>
        </w:r>
        <w:r w:rsidRPr="00B81B0A">
          <w:rPr>
            <w:rFonts w:ascii="Arial" w:hAnsi="Arial" w:cs="Arial"/>
            <w:color w:val="5B3393"/>
          </w:rPr>
          <w:t xml:space="preserve"> of </w:t>
        </w:r>
        <w:r w:rsidRPr="00B81B0A">
          <w:rPr>
            <w:rFonts w:ascii="Arial" w:hAnsi="Arial" w:cs="Arial"/>
            <w:color w:val="5B3393"/>
          </w:rPr>
          <w:fldChar w:fldCharType="begin"/>
        </w:r>
        <w:r w:rsidRPr="00B81B0A">
          <w:rPr>
            <w:rFonts w:ascii="Arial" w:hAnsi="Arial" w:cs="Arial"/>
            <w:color w:val="5B3393"/>
          </w:rPr>
          <w:instrText xml:space="preserve"> NUMPAGES  </w:instrText>
        </w:r>
        <w:r w:rsidRPr="00B81B0A">
          <w:rPr>
            <w:rFonts w:ascii="Arial" w:hAnsi="Arial" w:cs="Arial"/>
            <w:color w:val="5B3393"/>
          </w:rPr>
          <w:fldChar w:fldCharType="separate"/>
        </w:r>
        <w:r w:rsidRPr="00B81B0A">
          <w:rPr>
            <w:rFonts w:ascii="Arial" w:hAnsi="Arial" w:cs="Arial"/>
            <w:noProof/>
            <w:color w:val="5B3393"/>
          </w:rPr>
          <w:t>1</w:t>
        </w:r>
        <w:r w:rsidRPr="00B81B0A">
          <w:rPr>
            <w:rFonts w:ascii="Arial" w:hAnsi="Arial" w:cs="Arial"/>
            <w:color w:val="5B3393"/>
          </w:rPr>
          <w:fldChar w:fldCharType="end"/>
        </w:r>
      </w:sdtContent>
    </w:sdt>
    <w:r w:rsidRPr="00B81B0A">
      <w:rPr>
        <w:rFonts w:ascii="Arial" w:hAnsi="Arial" w:cs="Arial"/>
        <w:color w:val="5B3393"/>
      </w:rPr>
      <w:fldChar w:fldCharType="begin"/>
    </w:r>
    <w:r w:rsidRPr="00B81B0A">
      <w:rPr>
        <w:rFonts w:ascii="Arial" w:hAnsi="Arial" w:cs="Arial"/>
        <w:color w:val="5B3393"/>
      </w:rPr>
      <w:instrText xml:space="preserve"> { NUMPAGES} -1</w:instrText>
    </w:r>
    <w:r w:rsidRPr="00B81B0A">
      <w:rPr>
        <w:rFonts w:ascii="Arial" w:hAnsi="Arial" w:cs="Arial"/>
        <w:color w:val="5B339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D03B" w14:textId="15E0C81F" w:rsidR="00300598" w:rsidRDefault="00300598" w:rsidP="009743E1">
    <w:pPr>
      <w:tabs>
        <w:tab w:val="right" w:pos="9600"/>
      </w:tabs>
      <w:jc w:val="center"/>
      <w:rPr>
        <w:rFonts w:ascii="Arial" w:hAnsi="Arial" w:cs="Arial"/>
        <w:color w:val="5B3393"/>
      </w:rPr>
    </w:pPr>
  </w:p>
  <w:p w14:paraId="1ED3B6F6" w14:textId="1C3D58E3" w:rsidR="00B81B0A" w:rsidRPr="00B81B0A" w:rsidRDefault="00B81B0A" w:rsidP="00B81B0A">
    <w:pPr>
      <w:tabs>
        <w:tab w:val="right" w:pos="9600"/>
      </w:tabs>
      <w:jc w:val="right"/>
      <w:rPr>
        <w:rFonts w:ascii="Arial" w:hAnsi="Arial" w:cs="Arial"/>
      </w:rPr>
    </w:pPr>
    <w:r w:rsidRPr="00B81B0A">
      <w:rPr>
        <w:rFonts w:ascii="Arial" w:hAnsi="Arial" w:cs="Arial"/>
        <w:color w:val="5B3393"/>
      </w:rPr>
      <w:t>www.</w:t>
    </w:r>
    <w:r w:rsidRPr="00B81B0A">
      <w:rPr>
        <w:rFonts w:ascii="Arial" w:hAnsi="Arial" w:cs="Arial"/>
        <w:b/>
        <w:color w:val="5B3393"/>
      </w:rPr>
      <w:t>medtecheurope</w:t>
    </w:r>
    <w:r w:rsidRPr="00B81B0A">
      <w:rPr>
        <w:rFonts w:ascii="Arial" w:hAnsi="Arial" w:cs="Arial"/>
        <w:color w:val="5B3393"/>
      </w:rPr>
      <w:t>.org</w:t>
    </w:r>
    <w:r w:rsidRPr="00B81B0A">
      <w:rPr>
        <w:rFonts w:ascii="Arial" w:hAnsi="Arial" w:cs="Arial"/>
        <w:b/>
        <w:color w:val="5B3393"/>
      </w:rPr>
      <w:tab/>
    </w:r>
    <w:sdt>
      <w:sdtPr>
        <w:rPr>
          <w:rFonts w:ascii="Arial" w:hAnsi="Arial" w:cs="Arial"/>
          <w:color w:val="5B3393"/>
        </w:rPr>
        <w:id w:val="-585997323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>
          <w:rPr>
            <w:rFonts w:ascii="Arial" w:hAnsi="Arial" w:cs="Arial"/>
            <w:color w:val="5B3393"/>
          </w:rPr>
          <w:tab/>
        </w:r>
        <w:r>
          <w:rPr>
            <w:rFonts w:ascii="Arial" w:hAnsi="Arial" w:cs="Arial"/>
            <w:color w:val="5B3393"/>
          </w:rPr>
          <w:tab/>
        </w:r>
        <w:r>
          <w:rPr>
            <w:rFonts w:ascii="Arial" w:hAnsi="Arial" w:cs="Arial"/>
            <w:color w:val="5B3393"/>
          </w:rPr>
          <w:tab/>
        </w:r>
        <w:r w:rsidRPr="00B81B0A">
          <w:rPr>
            <w:rFonts w:ascii="Arial" w:hAnsi="Arial" w:cs="Arial"/>
            <w:color w:val="5B3393"/>
          </w:rPr>
          <w:t xml:space="preserve">Page </w:t>
        </w:r>
        <w:r w:rsidRPr="00B81B0A">
          <w:rPr>
            <w:rFonts w:ascii="Arial" w:hAnsi="Arial" w:cs="Arial"/>
            <w:color w:val="5B3393"/>
          </w:rPr>
          <w:fldChar w:fldCharType="begin"/>
        </w:r>
        <w:r w:rsidRPr="00B81B0A">
          <w:rPr>
            <w:rFonts w:ascii="Arial" w:hAnsi="Arial" w:cs="Arial"/>
            <w:color w:val="5B3393"/>
          </w:rPr>
          <w:instrText xml:space="preserve"> PAGE </w:instrText>
        </w:r>
        <w:r w:rsidRPr="00B81B0A">
          <w:rPr>
            <w:rFonts w:ascii="Arial" w:hAnsi="Arial" w:cs="Arial"/>
            <w:color w:val="5B3393"/>
          </w:rPr>
          <w:fldChar w:fldCharType="separate"/>
        </w:r>
        <w:r>
          <w:rPr>
            <w:rFonts w:ascii="Arial" w:hAnsi="Arial" w:cs="Arial"/>
            <w:color w:val="5B3393"/>
          </w:rPr>
          <w:t>2</w:t>
        </w:r>
        <w:r w:rsidRPr="00B81B0A">
          <w:rPr>
            <w:rFonts w:ascii="Arial" w:hAnsi="Arial" w:cs="Arial"/>
            <w:color w:val="5B3393"/>
          </w:rPr>
          <w:fldChar w:fldCharType="end"/>
        </w:r>
        <w:r w:rsidRPr="00B81B0A">
          <w:rPr>
            <w:rFonts w:ascii="Arial" w:hAnsi="Arial" w:cs="Arial"/>
            <w:color w:val="5B3393"/>
          </w:rPr>
          <w:t xml:space="preserve"> of </w:t>
        </w:r>
        <w:r w:rsidRPr="00B81B0A">
          <w:rPr>
            <w:rFonts w:ascii="Arial" w:hAnsi="Arial" w:cs="Arial"/>
            <w:color w:val="5B3393"/>
          </w:rPr>
          <w:fldChar w:fldCharType="begin"/>
        </w:r>
        <w:r w:rsidRPr="00B81B0A">
          <w:rPr>
            <w:rFonts w:ascii="Arial" w:hAnsi="Arial" w:cs="Arial"/>
            <w:color w:val="5B3393"/>
          </w:rPr>
          <w:instrText xml:space="preserve"> NUMPAGES  </w:instrText>
        </w:r>
        <w:r w:rsidRPr="00B81B0A">
          <w:rPr>
            <w:rFonts w:ascii="Arial" w:hAnsi="Arial" w:cs="Arial"/>
            <w:color w:val="5B3393"/>
          </w:rPr>
          <w:fldChar w:fldCharType="separate"/>
        </w:r>
        <w:r>
          <w:rPr>
            <w:rFonts w:ascii="Arial" w:hAnsi="Arial" w:cs="Arial"/>
            <w:color w:val="5B3393"/>
          </w:rPr>
          <w:t>10</w:t>
        </w:r>
        <w:r w:rsidRPr="00B81B0A">
          <w:rPr>
            <w:rFonts w:ascii="Arial" w:hAnsi="Arial" w:cs="Arial"/>
            <w:color w:val="5B3393"/>
          </w:rPr>
          <w:fldChar w:fldCharType="end"/>
        </w:r>
      </w:sdtContent>
    </w:sdt>
    <w:r w:rsidRPr="00B81B0A">
      <w:rPr>
        <w:rFonts w:ascii="Arial" w:hAnsi="Arial" w:cs="Arial"/>
        <w:color w:val="5B3393"/>
      </w:rPr>
      <w:fldChar w:fldCharType="begin"/>
    </w:r>
    <w:r w:rsidRPr="00B81B0A">
      <w:rPr>
        <w:rFonts w:ascii="Arial" w:hAnsi="Arial" w:cs="Arial"/>
        <w:color w:val="5B3393"/>
      </w:rPr>
      <w:instrText xml:space="preserve"> { NUMPAGES} -1</w:instrText>
    </w:r>
    <w:r w:rsidRPr="00B81B0A">
      <w:rPr>
        <w:rFonts w:ascii="Arial" w:hAnsi="Arial" w:cs="Arial"/>
        <w:color w:val="5B339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213B" w14:textId="77777777" w:rsidR="006A5C69" w:rsidRDefault="006A5C69" w:rsidP="006B7392">
      <w:pPr>
        <w:spacing w:line="240" w:lineRule="auto"/>
      </w:pPr>
      <w:r>
        <w:separator/>
      </w:r>
    </w:p>
  </w:footnote>
  <w:footnote w:type="continuationSeparator" w:id="0">
    <w:p w14:paraId="2A156C7B" w14:textId="77777777" w:rsidR="006A5C69" w:rsidRDefault="006A5C69" w:rsidP="006B7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C1F2" w14:textId="3CA4D8AD" w:rsidR="006B7392" w:rsidRDefault="00B81B0A" w:rsidP="002C65CD">
    <w:pPr>
      <w:pStyle w:val="Heading1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31979D1" wp14:editId="7B9AD7C3">
          <wp:simplePos x="0" y="0"/>
          <wp:positionH relativeFrom="page">
            <wp:posOffset>967303</wp:posOffset>
          </wp:positionH>
          <wp:positionV relativeFrom="page">
            <wp:posOffset>342719</wp:posOffset>
          </wp:positionV>
          <wp:extent cx="2171700" cy="363681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OMED-MedTech_Europe-WORD_templates-LAYOUTs_forPRESS-RELEASE_V04_forHeader+Footer_PNG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63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A3B06" w14:textId="77777777" w:rsidR="00300598" w:rsidRPr="00300598" w:rsidRDefault="00300598" w:rsidP="003005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B4D1" w14:textId="15B95678" w:rsidR="00B81B0A" w:rsidRDefault="00B81B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36F1DE" wp14:editId="1CDD8FD3">
          <wp:simplePos x="0" y="0"/>
          <wp:positionH relativeFrom="page">
            <wp:posOffset>965555</wp:posOffset>
          </wp:positionH>
          <wp:positionV relativeFrom="page">
            <wp:posOffset>276225</wp:posOffset>
          </wp:positionV>
          <wp:extent cx="2171700" cy="363681"/>
          <wp:effectExtent l="0" t="0" r="254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OMED-MedTech_Europe-WORD_templates-LAYOUTs_forPRESS-RELEASE_V04_forHeader+Footer_PNG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63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B86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46AA"/>
    <w:multiLevelType w:val="hybridMultilevel"/>
    <w:tmpl w:val="7FFEC18C"/>
    <w:lvl w:ilvl="0" w:tplc="B7E8D6EA">
      <w:numFmt w:val="bullet"/>
      <w:pStyle w:val="Bulletslis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84A8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4480"/>
    <w:multiLevelType w:val="hybridMultilevel"/>
    <w:tmpl w:val="67B8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FF9"/>
    <w:multiLevelType w:val="hybridMultilevel"/>
    <w:tmpl w:val="E544D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15B4A"/>
    <w:multiLevelType w:val="hybridMultilevel"/>
    <w:tmpl w:val="D8BE72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C2E"/>
    <w:multiLevelType w:val="hybridMultilevel"/>
    <w:tmpl w:val="4D94B034"/>
    <w:lvl w:ilvl="0" w:tplc="E2A0C20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3B0"/>
    <w:multiLevelType w:val="hybridMultilevel"/>
    <w:tmpl w:val="0D7A52EA"/>
    <w:lvl w:ilvl="0" w:tplc="FB360B90">
      <w:start w:val="1"/>
      <w:numFmt w:val="decimal"/>
      <w:pStyle w:val="ListParagraph"/>
      <w:lvlText w:val="%1 -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84A8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F02AA"/>
    <w:multiLevelType w:val="hybridMultilevel"/>
    <w:tmpl w:val="DEE0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61CF2"/>
    <w:multiLevelType w:val="hybridMultilevel"/>
    <w:tmpl w:val="5C86EF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B0161"/>
    <w:multiLevelType w:val="hybridMultilevel"/>
    <w:tmpl w:val="4344D53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0A"/>
    <w:rsid w:val="00020246"/>
    <w:rsid w:val="00054702"/>
    <w:rsid w:val="00067D84"/>
    <w:rsid w:val="0008786A"/>
    <w:rsid w:val="00136910"/>
    <w:rsid w:val="00155C87"/>
    <w:rsid w:val="00184E7B"/>
    <w:rsid w:val="00232484"/>
    <w:rsid w:val="00253091"/>
    <w:rsid w:val="00265930"/>
    <w:rsid w:val="00283A40"/>
    <w:rsid w:val="002C65CD"/>
    <w:rsid w:val="002F5091"/>
    <w:rsid w:val="00300598"/>
    <w:rsid w:val="003C0763"/>
    <w:rsid w:val="003D6F2D"/>
    <w:rsid w:val="003F07CB"/>
    <w:rsid w:val="0048617F"/>
    <w:rsid w:val="004A0D0C"/>
    <w:rsid w:val="004A5F22"/>
    <w:rsid w:val="00596620"/>
    <w:rsid w:val="005A42C6"/>
    <w:rsid w:val="005A483B"/>
    <w:rsid w:val="005B6AC1"/>
    <w:rsid w:val="005F6A77"/>
    <w:rsid w:val="006A5C69"/>
    <w:rsid w:val="006B7392"/>
    <w:rsid w:val="006B780C"/>
    <w:rsid w:val="006E423A"/>
    <w:rsid w:val="00834859"/>
    <w:rsid w:val="00855ABD"/>
    <w:rsid w:val="00867B9D"/>
    <w:rsid w:val="00891588"/>
    <w:rsid w:val="008A5C0E"/>
    <w:rsid w:val="008E4C8E"/>
    <w:rsid w:val="00935167"/>
    <w:rsid w:val="00961CAE"/>
    <w:rsid w:val="009743E1"/>
    <w:rsid w:val="009924A6"/>
    <w:rsid w:val="009D7629"/>
    <w:rsid w:val="00A06328"/>
    <w:rsid w:val="00A93F14"/>
    <w:rsid w:val="00AE109D"/>
    <w:rsid w:val="00B81B0A"/>
    <w:rsid w:val="00DD29C9"/>
    <w:rsid w:val="00DD77B7"/>
    <w:rsid w:val="00E1729A"/>
    <w:rsid w:val="00E553D0"/>
    <w:rsid w:val="00F60EB3"/>
    <w:rsid w:val="00FB2819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0B9CA9"/>
  <w14:defaultImageDpi w14:val="300"/>
  <w15:docId w15:val="{0FF677C6-7613-43AC-B846-5C87B2D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392"/>
    <w:pPr>
      <w:keepNext/>
      <w:keepLines/>
      <w:jc w:val="center"/>
      <w:outlineLvl w:val="0"/>
    </w:pPr>
    <w:rPr>
      <w:rFonts w:eastAsiaTheme="majorEastAsia" w:cstheme="majorBidi"/>
      <w:b/>
      <w:bCs/>
      <w:color w:val="0084A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392"/>
    <w:pPr>
      <w:keepNext/>
      <w:keepLines/>
      <w:jc w:val="center"/>
      <w:outlineLvl w:val="1"/>
    </w:pPr>
    <w:rPr>
      <w:rFonts w:eastAsiaTheme="majorEastAsia" w:cstheme="majorBidi"/>
      <w:bCs/>
      <w:color w:val="5B33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392"/>
    <w:pPr>
      <w:keepNext/>
      <w:keepLines/>
      <w:outlineLvl w:val="2"/>
    </w:pPr>
    <w:rPr>
      <w:rFonts w:eastAsiaTheme="majorEastAsia" w:cstheme="majorBidi"/>
      <w:b/>
      <w:bCs/>
      <w:color w:val="5B3393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392"/>
    <w:pPr>
      <w:keepNext/>
      <w:keepLines/>
      <w:outlineLvl w:val="3"/>
    </w:pPr>
    <w:rPr>
      <w:rFonts w:eastAsiaTheme="majorEastAsia" w:cstheme="majorBidi"/>
      <w:bCs/>
      <w:iCs/>
      <w:color w:val="0084A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9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B7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92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7392"/>
    <w:rPr>
      <w:rFonts w:ascii="Arial" w:eastAsiaTheme="majorEastAsia" w:hAnsi="Arial" w:cstheme="majorBidi"/>
      <w:b/>
      <w:bCs/>
      <w:color w:val="0084A8"/>
      <w:sz w:val="32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7392"/>
    <w:rPr>
      <w:rFonts w:ascii="Arial" w:eastAsiaTheme="majorEastAsia" w:hAnsi="Arial" w:cstheme="majorBidi"/>
      <w:bCs/>
      <w:color w:val="5B3393"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B7392"/>
    <w:rPr>
      <w:rFonts w:ascii="Arial" w:eastAsiaTheme="majorEastAsia" w:hAnsi="Arial" w:cstheme="majorBidi"/>
      <w:b/>
      <w:bCs/>
      <w:color w:val="5B3393"/>
      <w:sz w:val="24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B7392"/>
    <w:rPr>
      <w:rFonts w:ascii="Arial" w:eastAsiaTheme="majorEastAsia" w:hAnsi="Arial" w:cstheme="majorBidi"/>
      <w:bCs/>
      <w:iCs/>
      <w:color w:val="0084A8"/>
      <w:szCs w:val="16"/>
      <w:u w:val="single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B7392"/>
    <w:pPr>
      <w:numPr>
        <w:numId w:val="2"/>
      </w:numPr>
      <w:contextualSpacing/>
    </w:pPr>
  </w:style>
  <w:style w:type="paragraph" w:customStyle="1" w:styleId="Bulletslist">
    <w:name w:val="Bullets list"/>
    <w:basedOn w:val="ListParagraph"/>
    <w:link w:val="BulletslistChar"/>
    <w:qFormat/>
    <w:rsid w:val="006B7392"/>
    <w:pPr>
      <w:numPr>
        <w:numId w:val="1"/>
      </w:numPr>
      <w:ind w:left="284" w:hanging="28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B7392"/>
    <w:rPr>
      <w:rFonts w:ascii="Arial" w:eastAsiaTheme="minorHAnsi" w:hAnsi="Arial" w:cs="Myriad Pro"/>
      <w:color w:val="333333"/>
      <w:szCs w:val="16"/>
      <w:lang w:val="en-GB" w:eastAsia="en-US"/>
    </w:rPr>
  </w:style>
  <w:style w:type="character" w:customStyle="1" w:styleId="BulletslistChar">
    <w:name w:val="Bullets list Char"/>
    <w:basedOn w:val="ListParagraphChar"/>
    <w:link w:val="Bulletslist"/>
    <w:rsid w:val="006B7392"/>
    <w:rPr>
      <w:rFonts w:ascii="Arial" w:eastAsiaTheme="minorHAnsi" w:hAnsi="Arial" w:cs="Myriad Pro"/>
      <w:color w:val="333333"/>
      <w:szCs w:val="16"/>
      <w:lang w:val="en-GB" w:eastAsia="en-US"/>
    </w:rPr>
  </w:style>
  <w:style w:type="table" w:styleId="TableGrid">
    <w:name w:val="Table Grid"/>
    <w:basedOn w:val="TableNormal"/>
    <w:uiPriority w:val="39"/>
    <w:rsid w:val="00B81B0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B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B81B0A"/>
    <w:rPr>
      <w:color w:val="0563C1"/>
      <w:u w:val="single"/>
    </w:rPr>
  </w:style>
  <w:style w:type="paragraph" w:customStyle="1" w:styleId="xmsonormal">
    <w:name w:val="x_msonormal"/>
    <w:basedOn w:val="Normal"/>
    <w:rsid w:val="00B81B0A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7B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7B7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7"/>
    <w:rPr>
      <w:rFonts w:ascii="Segoe UI" w:eastAsiaTheme="minorHAnsi" w:hAnsi="Segoe UI" w:cs="Segoe UI"/>
      <w:sz w:val="18"/>
      <w:szCs w:val="18"/>
      <w:lang w:val="en-US" w:eastAsia="en-US"/>
    </w:rPr>
  </w:style>
  <w:style w:type="table" w:styleId="GridTable1Light-Accent1">
    <w:name w:val="Grid Table 1 Light Accent 1"/>
    <w:basedOn w:val="TableNormal"/>
    <w:uiPriority w:val="46"/>
    <w:rsid w:val="009743E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43E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43E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0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7C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36910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:OJ.CI.2020.102.01.0012.01.ENG&amp;toc=OJ:C:2020:102I:TOC" TargetMode="External"/><Relationship Id="rId13" Type="http://schemas.openxmlformats.org/officeDocument/2006/relationships/hyperlink" Target="https://eur-lex.europa.eu/legal-content/EN/TXT/?uri=uriserv:OJ.LI.2020.084.01.0001.01.ENG&amp;toc=OJ:L:2020:084I:TOC" TargetMode="External"/><Relationship Id="rId18" Type="http://schemas.openxmlformats.org/officeDocument/2006/relationships/hyperlink" Target="https://ec.europa.eu/info/sites/info/files/covid19_-_eu_recommendations_on_testing_strategies_v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c.europa.eu/docsroom/documents/405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uriserv:OJ.CI.2020.091.01.0010.01.ENG&amp;toc=OJ:C:2020:091I:TOC" TargetMode="External"/><Relationship Id="rId17" Type="http://schemas.openxmlformats.org/officeDocument/2006/relationships/hyperlink" Target="https://edpb.europa.eu/sites/edpb/files/files/file1/edpb_statement_2020_processingpersonaldataandcovid-19_en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uriserv:OJ.LI.2020.079.01.0001.01.ENG&amp;toc=OJ:L:2020:079I:TOC" TargetMode="External"/><Relationship Id="rId20" Type="http://schemas.openxmlformats.org/officeDocument/2006/relationships/hyperlink" Target="https://ec.europa.eu/docsroom/documents/405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uriserv:OJ.CI.2020.096.01.0001.01.ENG&amp;toc=OJ:C:2020:096I:TO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qid=1585625261312&amp;uri=CELEX:32020R040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ur-lex.europa.eu/legal-content/EN/TXT/?uri=OJ:L:2020:090I:TOC" TargetMode="External"/><Relationship Id="rId19" Type="http://schemas.openxmlformats.org/officeDocument/2006/relationships/hyperlink" Target="https://ec.europa.eu/docsroom/documents/40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uriserv:OJ.CI.2020.100.01.0001.01.ENG&amp;toc=OJ:C:2020:100I:TOC" TargetMode="External"/><Relationship Id="rId14" Type="http://schemas.openxmlformats.org/officeDocument/2006/relationships/hyperlink" Target="https://eur-lex.europa.eu/legal-content/EN/TXT/?uri=uriserv:OJ.LI.2020.082.01.0001.01.ENG&amp;toc=OJ:L:2020:082I:TOC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\Dropbox\Medtech%20Folder\Templ_2017%20MedTech_Europe-BasicDocument_WOR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B099-2A18-431A-BB37-58EB41A5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Templ_2017 MedTech_Europe-BasicDocument_WORD.dotx</Template>
  <TotalTime>13</TotalTime>
  <Pages>4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Jerick Parrone</dc:creator>
  <cp:keywords/>
  <dc:description/>
  <cp:lastModifiedBy>Jesus Rueda Rodriguez</cp:lastModifiedBy>
  <cp:revision>2</cp:revision>
  <cp:lastPrinted>2020-02-28T11:28:00Z</cp:lastPrinted>
  <dcterms:created xsi:type="dcterms:W3CDTF">2020-03-31T04:22:00Z</dcterms:created>
  <dcterms:modified xsi:type="dcterms:W3CDTF">2020-03-31T04:22:00Z</dcterms:modified>
</cp:coreProperties>
</file>